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B093" w14:textId="77777777" w:rsidR="00B711E3" w:rsidRDefault="00B711E3">
      <w:pPr>
        <w:rPr>
          <w:rtl/>
        </w:rPr>
      </w:pPr>
    </w:p>
    <w:p w14:paraId="558978E0" w14:textId="77777777" w:rsidR="00F755D1" w:rsidRDefault="00F755D1">
      <w:pPr>
        <w:rPr>
          <w:rtl/>
        </w:rPr>
      </w:pPr>
    </w:p>
    <w:p w14:paraId="76B58D6F" w14:textId="77777777" w:rsidR="00F755D1" w:rsidRDefault="00F755D1" w:rsidP="00F755D1">
      <w:pPr>
        <w:spacing w:after="167"/>
        <w:ind w:left="97"/>
        <w:jc w:val="center"/>
      </w:pPr>
      <w:r>
        <w:rPr>
          <w:b/>
          <w:bCs/>
          <w:szCs w:val="20"/>
          <w:u w:val="single" w:color="000000"/>
          <w:rtl/>
        </w:rPr>
        <w:t>הסכם בוררות</w:t>
      </w:r>
      <w:r>
        <w:rPr>
          <w:b/>
          <w:bCs/>
          <w:szCs w:val="20"/>
          <w:rtl/>
        </w:rPr>
        <w:t xml:space="preserve">  </w:t>
      </w:r>
    </w:p>
    <w:p w14:paraId="2DFFE27F" w14:textId="4939D5C1" w:rsidR="00F755D1" w:rsidRDefault="00F755D1" w:rsidP="00F755D1">
      <w:pPr>
        <w:ind w:left="54" w:right="-15" w:hanging="54"/>
      </w:pPr>
      <w:r>
        <w:rPr>
          <w:szCs w:val="20"/>
          <w:rtl/>
        </w:rPr>
        <w:t xml:space="preserve"> אנו החתומים מטה מקבלים עלינו </w:t>
      </w:r>
      <w:proofErr w:type="spellStart"/>
      <w:r>
        <w:rPr>
          <w:szCs w:val="20"/>
          <w:rtl/>
        </w:rPr>
        <w:t>בקנין</w:t>
      </w:r>
      <w:proofErr w:type="spellEnd"/>
      <w:r>
        <w:rPr>
          <w:szCs w:val="20"/>
          <w:rtl/>
        </w:rPr>
        <w:t xml:space="preserve"> את בית הדין לממונות  בתור בורר מוסכם לדון בתביעה בנושא ______________________________________. התביעה היא על סך____________ ש"ח. בהתאם לסעיפים הבאים:  </w:t>
      </w:r>
    </w:p>
    <w:p w14:paraId="4CA0EFB0" w14:textId="77777777" w:rsidR="00F755D1" w:rsidRDefault="00F755D1" w:rsidP="00F755D1">
      <w:pPr>
        <w:numPr>
          <w:ilvl w:val="0"/>
          <w:numId w:val="1"/>
        </w:numPr>
        <w:spacing w:after="184" w:line="325" w:lineRule="auto"/>
        <w:ind w:right="-15" w:hanging="417"/>
        <w:jc w:val="both"/>
      </w:pPr>
      <w:r>
        <w:rPr>
          <w:szCs w:val="20"/>
          <w:rtl/>
        </w:rPr>
        <w:t xml:space="preserve">בית הדין יפסוק ויכריע – בתביעה / בתביעות ההדדיות וכן בכל נושא אחר הקשור לנושא הבוררות אשר יעלה ע"י אחד הצדדים – על פי דין או פשרה לפי שיקול דעתו עפ"י החומר שבפניו. בכלל זה רשאי בית הדין כפי שיקול דעתו לחייב את הצדדים בנזקי </w:t>
      </w:r>
      <w:proofErr w:type="spellStart"/>
      <w:r>
        <w:rPr>
          <w:szCs w:val="20"/>
          <w:rtl/>
        </w:rPr>
        <w:t>גרמא</w:t>
      </w:r>
      <w:proofErr w:type="spellEnd"/>
      <w:r>
        <w:rPr>
          <w:szCs w:val="20"/>
          <w:rtl/>
        </w:rPr>
        <w:t>, תשלום עבור מניעת רווח, וחיוב לשלם או לפעול לפנים משורת הדין.</w:t>
      </w:r>
      <w:r>
        <w:rPr>
          <w:rFonts w:hint="cs"/>
          <w:szCs w:val="20"/>
          <w:rtl/>
        </w:rPr>
        <w:t xml:space="preserve"> </w:t>
      </w:r>
      <w:r>
        <w:rPr>
          <w:szCs w:val="20"/>
          <w:rtl/>
        </w:rPr>
        <w:t xml:space="preserve">בית הדין אינו מחויב לכללי 'קים לי .'ההכרעה תהיה ע"פ רוב דעות גם בפשרה . </w:t>
      </w:r>
    </w:p>
    <w:p w14:paraId="55180CB3" w14:textId="77777777" w:rsidR="00F755D1" w:rsidRDefault="00F755D1" w:rsidP="00F755D1">
      <w:pPr>
        <w:numPr>
          <w:ilvl w:val="0"/>
          <w:numId w:val="1"/>
        </w:numPr>
        <w:spacing w:after="184" w:line="325" w:lineRule="auto"/>
        <w:ind w:right="-15" w:hanging="417"/>
        <w:jc w:val="both"/>
      </w:pPr>
      <w:r>
        <w:rPr>
          <w:szCs w:val="20"/>
          <w:rtl/>
        </w:rPr>
        <w:t xml:space="preserve">בית הדין יהיה רשאי להוציא צו הצהרתי, צו ביצוע, צו מניעה, צו עיקול, החלטות ביניים עד לפסק הסופי וכל סעד אחר קבוע או זמני כפי הצורך על פי שיקול דעת הדיינים. בית הדין יהיה רשאי לקבוע מועד לדיון בלילה ולקבל עדים בלילה . </w:t>
      </w:r>
    </w:p>
    <w:p w14:paraId="16AC2019" w14:textId="77777777" w:rsidR="00F755D1" w:rsidRDefault="00F755D1" w:rsidP="00F755D1">
      <w:pPr>
        <w:numPr>
          <w:ilvl w:val="0"/>
          <w:numId w:val="1"/>
        </w:numPr>
        <w:spacing w:after="184" w:line="325" w:lineRule="auto"/>
        <w:ind w:right="-15" w:hanging="417"/>
        <w:jc w:val="both"/>
      </w:pPr>
      <w:r>
        <w:rPr>
          <w:szCs w:val="20"/>
          <w:rtl/>
        </w:rPr>
        <w:t>הצדדים יופיעו אישית לכל הדיונים ויטענו טענותיהם בעצמם.</w:t>
      </w:r>
      <w:r>
        <w:rPr>
          <w:rFonts w:hint="cs"/>
          <w:szCs w:val="20"/>
          <w:rtl/>
        </w:rPr>
        <w:t xml:space="preserve"> </w:t>
      </w:r>
      <w:r>
        <w:rPr>
          <w:szCs w:val="20"/>
          <w:rtl/>
        </w:rPr>
        <w:t xml:space="preserve">רק לאחר שהציגו הצדדים את טענותיהם, יוכלו להיעזר בטוענים רבניים / עורכי דין לאחר חתימה על </w:t>
      </w:r>
      <w:proofErr w:type="spellStart"/>
      <w:r>
        <w:rPr>
          <w:szCs w:val="20"/>
          <w:rtl/>
        </w:rPr>
        <w:t>יפוי</w:t>
      </w:r>
      <w:proofErr w:type="spellEnd"/>
      <w:r>
        <w:rPr>
          <w:szCs w:val="20"/>
          <w:rtl/>
        </w:rPr>
        <w:t xml:space="preserve"> </w:t>
      </w:r>
      <w:proofErr w:type="spellStart"/>
      <w:r>
        <w:rPr>
          <w:szCs w:val="20"/>
          <w:rtl/>
        </w:rPr>
        <w:t>כח</w:t>
      </w:r>
      <w:proofErr w:type="spellEnd"/>
      <w:r>
        <w:rPr>
          <w:szCs w:val="20"/>
          <w:rtl/>
        </w:rPr>
        <w:t xml:space="preserve">. לבית הדין תהיה הסמכות לפטור את הצדדים מהופעה אישית בדיון ובלבד שהמורשים לא יטענו טענות חדשות.  </w:t>
      </w:r>
    </w:p>
    <w:p w14:paraId="6458163A" w14:textId="77777777" w:rsidR="00F755D1" w:rsidRDefault="00F755D1" w:rsidP="00F755D1">
      <w:pPr>
        <w:numPr>
          <w:ilvl w:val="0"/>
          <w:numId w:val="1"/>
        </w:numPr>
        <w:spacing w:after="162"/>
        <w:ind w:right="-15" w:hanging="417"/>
        <w:jc w:val="both"/>
      </w:pPr>
      <w:r>
        <w:rPr>
          <w:szCs w:val="20"/>
          <w:rtl/>
        </w:rPr>
        <w:t>בית הדין יהיה רשאי להגביל את זמן הדיונים ע"פ הצורך בהתאם לשיקול דעתו.</w:t>
      </w:r>
      <w:r>
        <w:rPr>
          <w:rFonts w:hint="cs"/>
          <w:szCs w:val="20"/>
          <w:rtl/>
        </w:rPr>
        <w:t xml:space="preserve"> </w:t>
      </w:r>
      <w:r>
        <w:rPr>
          <w:szCs w:val="20"/>
          <w:rtl/>
        </w:rPr>
        <w:t xml:space="preserve">בית הדין אינו מחויב לסעיף טו לתוספת חוק הבוררות. </w:t>
      </w:r>
    </w:p>
    <w:p w14:paraId="2259A349" w14:textId="77777777" w:rsidR="00F755D1" w:rsidRDefault="00F755D1" w:rsidP="00F755D1">
      <w:pPr>
        <w:numPr>
          <w:ilvl w:val="0"/>
          <w:numId w:val="1"/>
        </w:numPr>
        <w:spacing w:after="162"/>
        <w:ind w:right="-15" w:hanging="417"/>
        <w:jc w:val="both"/>
      </w:pPr>
      <w:r>
        <w:rPr>
          <w:szCs w:val="20"/>
          <w:rtl/>
        </w:rPr>
        <w:t xml:space="preserve">בית הדין יהיה רשאי לחייב הוצאות משפט כפי שיקבע בית הדין, ובכללן תשלום הוצאות לעדים ושכר טרחת עורך דין/טוען רבני.  </w:t>
      </w:r>
    </w:p>
    <w:p w14:paraId="63D9F6CB" w14:textId="77777777" w:rsidR="00F755D1" w:rsidRDefault="00F755D1" w:rsidP="00F755D1">
      <w:pPr>
        <w:numPr>
          <w:ilvl w:val="0"/>
          <w:numId w:val="1"/>
        </w:numPr>
        <w:spacing w:after="184" w:line="325" w:lineRule="auto"/>
        <w:ind w:right="-15" w:hanging="417"/>
        <w:jc w:val="both"/>
      </w:pPr>
      <w:r>
        <w:rPr>
          <w:szCs w:val="20"/>
          <w:rtl/>
        </w:rPr>
        <w:t xml:space="preserve">הצדדים מקבלים על עצמם שטר בוררות זה ולשלם את פס"ד בלא שום טענה כנגדו, למעט העילות השמורות להם בחוק הבוררות. תינתן זכות ערעור על פסק הדין </w:t>
      </w:r>
      <w:r>
        <w:rPr>
          <w:rFonts w:hint="cs"/>
          <w:szCs w:val="20"/>
          <w:rtl/>
        </w:rPr>
        <w:t>(</w:t>
      </w:r>
      <w:r>
        <w:rPr>
          <w:szCs w:val="20"/>
          <w:rtl/>
        </w:rPr>
        <w:t xml:space="preserve">כמפורט להלן סעיף </w:t>
      </w:r>
      <w:r>
        <w:rPr>
          <w:szCs w:val="20"/>
        </w:rPr>
        <w:t>17</w:t>
      </w:r>
      <w:r>
        <w:rPr>
          <w:szCs w:val="20"/>
          <w:rtl/>
        </w:rPr>
        <w:t xml:space="preserve">).  </w:t>
      </w:r>
    </w:p>
    <w:p w14:paraId="3BDDAA54" w14:textId="77777777" w:rsidR="00F755D1" w:rsidRDefault="00F755D1" w:rsidP="00F755D1">
      <w:pPr>
        <w:numPr>
          <w:ilvl w:val="0"/>
          <w:numId w:val="1"/>
        </w:numPr>
        <w:spacing w:after="184"/>
        <w:ind w:right="-15" w:hanging="417"/>
        <w:jc w:val="both"/>
      </w:pPr>
      <w:r>
        <w:rPr>
          <w:szCs w:val="20"/>
          <w:rtl/>
        </w:rPr>
        <w:t xml:space="preserve">לבית הדין הסמכות המלאה והבלעדית לפרש, להבהיר את החלטות בית הדין. תינתן זכות טיעון לצדדים לפני מתן ההבהרות או הפרשנות.  </w:t>
      </w:r>
    </w:p>
    <w:p w14:paraId="41DC3786" w14:textId="77777777" w:rsidR="00F755D1" w:rsidRDefault="00F755D1" w:rsidP="00F755D1">
      <w:pPr>
        <w:numPr>
          <w:ilvl w:val="0"/>
          <w:numId w:val="1"/>
        </w:numPr>
        <w:spacing w:after="184" w:line="325" w:lineRule="auto"/>
        <w:ind w:right="-15" w:hanging="417"/>
        <w:jc w:val="both"/>
      </w:pPr>
      <w:r>
        <w:rPr>
          <w:szCs w:val="20"/>
          <w:rtl/>
        </w:rPr>
        <w:t xml:space="preserve">בית הדין יהיה רשאי לנקוט באמצעי אכיפה יעילים לרבות הצמדת סכומי החיוב למדד, לדולר או לכל מדד אחר כפי שיקבעו הדיינים שאין בכך איסור ריבית, לשערוך ריאלי של החיובים הנפסקים . </w:t>
      </w:r>
    </w:p>
    <w:p w14:paraId="384AF5CF" w14:textId="77777777" w:rsidR="00F755D1" w:rsidRDefault="00F755D1" w:rsidP="00F755D1">
      <w:pPr>
        <w:numPr>
          <w:ilvl w:val="0"/>
          <w:numId w:val="1"/>
        </w:numPr>
        <w:spacing w:after="184" w:line="325" w:lineRule="auto"/>
        <w:ind w:right="-15" w:hanging="417"/>
        <w:jc w:val="both"/>
      </w:pPr>
      <w:r>
        <w:rPr>
          <w:szCs w:val="20"/>
          <w:rtl/>
        </w:rPr>
        <w:t xml:space="preserve">הצדדים מסמיכים את בית הדין להזמין חוות דעת של מומחה חיצוני כפי ראות עיני הדיינים. הדיינים רשאים לסמוך על חוות דעתם של אותם מומחים ו/או בעלי מקצוע לפי שיקול דעתם. החתומים מטה מתחייבים לשלם את שכרם של המומחים ו/או בעלי מקצוע, בהתאם להחלטת בית הדין . </w:t>
      </w:r>
    </w:p>
    <w:p w14:paraId="2EC4CFC8" w14:textId="3E30799B" w:rsidR="00F755D1" w:rsidRDefault="00F755D1" w:rsidP="00F755D1">
      <w:pPr>
        <w:ind w:right="-15"/>
      </w:pPr>
      <w:r>
        <w:rPr>
          <w:sz w:val="24"/>
          <w:szCs w:val="24"/>
        </w:rPr>
        <w:t>11</w:t>
      </w:r>
      <w:r>
        <w:rPr>
          <w:sz w:val="24"/>
          <w:szCs w:val="24"/>
          <w:rtl/>
        </w:rPr>
        <w:t>.</w:t>
      </w:r>
      <w:r>
        <w:rPr>
          <w:rFonts w:ascii="Arial" w:eastAsia="Arial" w:hAnsi="Arial" w:cs="Arial"/>
          <w:sz w:val="24"/>
          <w:szCs w:val="24"/>
          <w:rtl/>
        </w:rPr>
        <w:t xml:space="preserve"> </w:t>
      </w:r>
      <w:r>
        <w:rPr>
          <w:szCs w:val="20"/>
          <w:rtl/>
        </w:rPr>
        <w:t>באם אחד מהחתומים מטה, מייצגים חברה או עמותה או גוף וכיוצא בזה, או אדם המופיע בשם בן/בת זוגו, או בעניין הקשור לבן/בת זוגו</w:t>
      </w:r>
      <w:r>
        <w:rPr>
          <w:rFonts w:hint="cs"/>
          <w:szCs w:val="20"/>
          <w:rtl/>
        </w:rPr>
        <w:t>,</w:t>
      </w:r>
      <w:r>
        <w:rPr>
          <w:szCs w:val="20"/>
          <w:rtl/>
        </w:rPr>
        <w:t xml:space="preserve"> מצהיר החותם כי יש לו סמכות מלאה מכל בחינה שהיא, להתדיין בנושאים הנ"ל וכי חתימתו בזה מחייבת לכל דבר ועניין. ובמידה ויתברר שאינו כן, אזי הוא מתחייב ונוטל על עצמו אישית את כל החיובים הנובעים משטר בוררות זה, בכפוף להחלטת ביה"ד . </w:t>
      </w:r>
    </w:p>
    <w:p w14:paraId="4F63ED5E" w14:textId="77777777" w:rsidR="00F755D1" w:rsidRDefault="00F755D1" w:rsidP="00F755D1">
      <w:pPr>
        <w:numPr>
          <w:ilvl w:val="0"/>
          <w:numId w:val="2"/>
        </w:numPr>
        <w:spacing w:after="184" w:line="325" w:lineRule="auto"/>
        <w:ind w:right="-15" w:hanging="348"/>
        <w:jc w:val="both"/>
      </w:pPr>
      <w:r>
        <w:rPr>
          <w:szCs w:val="20"/>
          <w:rtl/>
        </w:rPr>
        <w:t xml:space="preserve">בית הדין מוסמך לחייב תשלום או הוצאות משפט וקנסות בכל אחד מהמקרים הבאים: ביטול דיון בתוך </w:t>
      </w:r>
      <w:r>
        <w:rPr>
          <w:szCs w:val="20"/>
        </w:rPr>
        <w:t>24</w:t>
      </w:r>
      <w:r>
        <w:rPr>
          <w:szCs w:val="20"/>
          <w:rtl/>
        </w:rPr>
        <w:t xml:space="preserve"> שעות מהמועד שנקבע וללא סיבת אונס, אי הופעה לדיון, חוצפה כלפי בית הדין והפרעה לניהול הדיון, בכפוף לזכות טיעון בנושא לצד המחויב</w:t>
      </w:r>
      <w:r>
        <w:rPr>
          <w:color w:val="FF0000"/>
          <w:szCs w:val="20"/>
          <w:rtl/>
        </w:rPr>
        <w:t xml:space="preserve">.   </w:t>
      </w:r>
    </w:p>
    <w:p w14:paraId="47961474" w14:textId="77777777" w:rsidR="00F755D1" w:rsidRDefault="00F755D1" w:rsidP="00F755D1">
      <w:pPr>
        <w:numPr>
          <w:ilvl w:val="0"/>
          <w:numId w:val="2"/>
        </w:numPr>
        <w:spacing w:after="184" w:line="325" w:lineRule="auto"/>
        <w:ind w:right="-15" w:hanging="348"/>
        <w:jc w:val="both"/>
      </w:pPr>
      <w:r>
        <w:rPr>
          <w:szCs w:val="20"/>
          <w:rtl/>
        </w:rPr>
        <w:t xml:space="preserve">אם אחד מחברי בית הדין הקבוע שבפניהם נפתח הדיון, לא יכול להשתתף בדיון, ניתן להמשיך בהסכמת הצדדים את הדיונים בלעדיו. בשעת הצורך ניתן לצרף באופן קבוע או זמני </w:t>
      </w:r>
      <w:proofErr w:type="spellStart"/>
      <w:r>
        <w:rPr>
          <w:szCs w:val="20"/>
          <w:rtl/>
        </w:rPr>
        <w:t>דײן</w:t>
      </w:r>
      <w:proofErr w:type="spellEnd"/>
      <w:r>
        <w:rPr>
          <w:szCs w:val="20"/>
          <w:rtl/>
        </w:rPr>
        <w:t>/</w:t>
      </w:r>
      <w:proofErr w:type="spellStart"/>
      <w:r>
        <w:rPr>
          <w:szCs w:val="20"/>
          <w:rtl/>
        </w:rPr>
        <w:t>דײנים</w:t>
      </w:r>
      <w:proofErr w:type="spellEnd"/>
      <w:r>
        <w:rPr>
          <w:szCs w:val="20"/>
          <w:rtl/>
        </w:rPr>
        <w:t xml:space="preserve"> אחר/אחרים כדי להשלים את ההרכב אף שלא בהסכמת הצדדים. </w:t>
      </w:r>
      <w:r>
        <w:rPr>
          <w:color w:val="FF0000"/>
          <w:szCs w:val="20"/>
          <w:rtl/>
        </w:rPr>
        <w:t xml:space="preserve"> </w:t>
      </w:r>
    </w:p>
    <w:p w14:paraId="5C1DA0DE" w14:textId="77777777" w:rsidR="00F755D1" w:rsidRDefault="00F755D1" w:rsidP="00F755D1">
      <w:pPr>
        <w:spacing w:after="184" w:line="325" w:lineRule="auto"/>
        <w:ind w:left="348" w:right="-15"/>
        <w:jc w:val="both"/>
        <w:rPr>
          <w:rtl/>
        </w:rPr>
      </w:pPr>
    </w:p>
    <w:p w14:paraId="686EB3C8" w14:textId="77777777" w:rsidR="00F755D1" w:rsidRDefault="00F755D1" w:rsidP="00F755D1">
      <w:pPr>
        <w:spacing w:after="184" w:line="325" w:lineRule="auto"/>
        <w:ind w:left="348" w:right="-15"/>
        <w:jc w:val="both"/>
      </w:pPr>
    </w:p>
    <w:p w14:paraId="639B6FCB" w14:textId="77777777" w:rsidR="00F755D1" w:rsidRDefault="00F755D1" w:rsidP="00F755D1">
      <w:pPr>
        <w:numPr>
          <w:ilvl w:val="0"/>
          <w:numId w:val="2"/>
        </w:numPr>
        <w:spacing w:after="184" w:line="325" w:lineRule="auto"/>
        <w:ind w:right="-15" w:hanging="348"/>
        <w:jc w:val="both"/>
      </w:pPr>
      <w:r>
        <w:rPr>
          <w:szCs w:val="20"/>
          <w:rtl/>
        </w:rPr>
        <w:t>הצדדים מקבלים עליהם את הדיינים לכל דין שידונו בין לדין בין לטעות בין לשיקול הדעת, ולא תהיה להם שום טענה בדבר כשירות הדיינים, למעט אם יתגלה פסול קורבה או נגיעת ממון ישירה, ומוותרים מראש על הופעת הדיינים הנ"ל לבירור לפני כל מוסד משפטי הן בתורת נתבעים והן בתורת עדות, ומוחלים על כל תביעת ממון שיכולה להיות להם עליהם .</w:t>
      </w:r>
      <w:r>
        <w:rPr>
          <w:color w:val="FF0000"/>
          <w:szCs w:val="20"/>
          <w:rtl/>
        </w:rPr>
        <w:t xml:space="preserve"> </w:t>
      </w:r>
    </w:p>
    <w:p w14:paraId="5D1CADCA" w14:textId="77777777" w:rsidR="00F755D1" w:rsidRDefault="00F755D1" w:rsidP="00F755D1">
      <w:pPr>
        <w:numPr>
          <w:ilvl w:val="0"/>
          <w:numId w:val="2"/>
        </w:numPr>
        <w:spacing w:after="162"/>
        <w:ind w:right="-15" w:hanging="348"/>
        <w:jc w:val="both"/>
      </w:pPr>
      <w:r>
        <w:rPr>
          <w:szCs w:val="20"/>
          <w:rtl/>
        </w:rPr>
        <w:t xml:space="preserve">בית הדין מוסמך לערוך דיונים או לקבל עדות במעמד צד אחד על פי המקרים המותרים בהלכה, ובחוק הבוררות סעיף </w:t>
      </w:r>
      <w:r>
        <w:rPr>
          <w:szCs w:val="20"/>
        </w:rPr>
        <w:t>15</w:t>
      </w:r>
      <w:r>
        <w:rPr>
          <w:szCs w:val="20"/>
          <w:rtl/>
        </w:rPr>
        <w:t>.</w:t>
      </w:r>
      <w:r>
        <w:rPr>
          <w:color w:val="FF0000"/>
          <w:szCs w:val="20"/>
          <w:rtl/>
        </w:rPr>
        <w:t xml:space="preserve"> </w:t>
      </w:r>
    </w:p>
    <w:p w14:paraId="3043FF91" w14:textId="77777777" w:rsidR="00F755D1" w:rsidRDefault="00F755D1" w:rsidP="00F755D1">
      <w:pPr>
        <w:numPr>
          <w:ilvl w:val="0"/>
          <w:numId w:val="2"/>
        </w:numPr>
        <w:spacing w:after="184" w:line="325" w:lineRule="auto"/>
        <w:ind w:right="-15" w:hanging="348"/>
        <w:jc w:val="both"/>
      </w:pPr>
      <w:r>
        <w:rPr>
          <w:szCs w:val="20"/>
          <w:rtl/>
        </w:rPr>
        <w:t>בית הדין ייתן משקל משפטי לפי שיקול דעתו לפסולי עדות,</w:t>
      </w:r>
      <w:r>
        <w:rPr>
          <w:rFonts w:hint="cs"/>
          <w:szCs w:val="20"/>
          <w:rtl/>
        </w:rPr>
        <w:t xml:space="preserve"> </w:t>
      </w:r>
      <w:r>
        <w:rPr>
          <w:szCs w:val="20"/>
          <w:rtl/>
        </w:rPr>
        <w:t xml:space="preserve">ורשאי לקבל טענות ועדויות בכתב או בטלפון או להוציא פסק דין בלי לשמוע עדים במקרים חריגים, </w:t>
      </w:r>
      <w:proofErr w:type="spellStart"/>
      <w:r>
        <w:rPr>
          <w:szCs w:val="20"/>
          <w:rtl/>
        </w:rPr>
        <w:t>הכל</w:t>
      </w:r>
      <w:proofErr w:type="spellEnd"/>
      <w:r>
        <w:rPr>
          <w:szCs w:val="20"/>
          <w:rtl/>
        </w:rPr>
        <w:t xml:space="preserve"> כפי שיקול דעתו כפי שימצא לנכון .</w:t>
      </w:r>
      <w:r>
        <w:rPr>
          <w:color w:val="FF0000"/>
          <w:szCs w:val="20"/>
          <w:rtl/>
        </w:rPr>
        <w:t xml:space="preserve"> </w:t>
      </w:r>
    </w:p>
    <w:p w14:paraId="3BB027B5" w14:textId="77777777" w:rsidR="00F755D1" w:rsidRDefault="00F755D1" w:rsidP="00F755D1">
      <w:pPr>
        <w:numPr>
          <w:ilvl w:val="0"/>
          <w:numId w:val="2"/>
        </w:numPr>
        <w:spacing w:after="184" w:line="325" w:lineRule="auto"/>
        <w:ind w:right="-15" w:hanging="348"/>
        <w:jc w:val="both"/>
      </w:pPr>
      <w:r>
        <w:rPr>
          <w:szCs w:val="20"/>
          <w:rtl/>
        </w:rPr>
        <w:t>הצדדים מקבלים על עצמם את עקרון "סופיות הדיון", מודים שאין להם ולא יבקשו להציג ראיות או טענות חדשות לאחר מתן פסק הדין, ומוחלים מראש על כל שינוי פס"ד מכל סיבה שהיא, למעט המגיע להם ע"פ חוק הבוררות  .</w:t>
      </w:r>
      <w:r>
        <w:rPr>
          <w:color w:val="FF0000"/>
          <w:szCs w:val="20"/>
          <w:rtl/>
        </w:rPr>
        <w:t xml:space="preserve"> </w:t>
      </w:r>
    </w:p>
    <w:p w14:paraId="6FF00FE9" w14:textId="06F1E26A" w:rsidR="00F755D1" w:rsidRDefault="00F755D1" w:rsidP="00F755D1">
      <w:pPr>
        <w:numPr>
          <w:ilvl w:val="0"/>
          <w:numId w:val="2"/>
        </w:numPr>
        <w:spacing w:after="184" w:line="325" w:lineRule="auto"/>
        <w:ind w:right="-15" w:hanging="348"/>
        <w:jc w:val="both"/>
      </w:pPr>
      <w:r>
        <w:rPr>
          <w:szCs w:val="20"/>
          <w:rtl/>
        </w:rPr>
        <w:t xml:space="preserve">ניתן לערער על פסק הדין על פי כללי תקנות סדר הדין של </w:t>
      </w:r>
      <w:r>
        <w:rPr>
          <w:rFonts w:hint="cs"/>
          <w:szCs w:val="20"/>
          <w:rtl/>
        </w:rPr>
        <w:t>משפט לעם,</w:t>
      </w:r>
      <w:r>
        <w:rPr>
          <w:szCs w:val="20"/>
          <w:rtl/>
        </w:rPr>
        <w:t xml:space="preserve"> אך כאשר בחרו שני הצדדים לוותר על זכות הערעור, לא תינתן להם אפשרות ערעור. למרות זאת, רשאי אב בית הדין על פי שיקול דעתו לאפשר הגשת ערעור. </w:t>
      </w:r>
      <w:r>
        <w:rPr>
          <w:color w:val="FF0000"/>
          <w:szCs w:val="20"/>
          <w:rtl/>
        </w:rPr>
        <w:t xml:space="preserve"> </w:t>
      </w:r>
      <w:r>
        <w:rPr>
          <w:rFonts w:hint="cs"/>
          <w:rtl/>
        </w:rPr>
        <w:t>חתימה על שטר זה מהווה הסכמה וקבלה של פסק דין של הרכב הערעור.</w:t>
      </w:r>
    </w:p>
    <w:p w14:paraId="679F5095" w14:textId="77777777" w:rsidR="00F755D1" w:rsidRDefault="00F755D1" w:rsidP="00F755D1">
      <w:pPr>
        <w:numPr>
          <w:ilvl w:val="0"/>
          <w:numId w:val="2"/>
        </w:numPr>
        <w:spacing w:after="162"/>
        <w:ind w:right="-15" w:hanging="348"/>
        <w:jc w:val="both"/>
      </w:pPr>
      <w:r>
        <w:rPr>
          <w:szCs w:val="20"/>
          <w:rtl/>
        </w:rPr>
        <w:t>הצדדים מקבלים על עצמם לשלם את מלא תשלומי האגרה למזכירות בית הדין, לפי הוראת בית הדין      .</w:t>
      </w:r>
      <w:r>
        <w:rPr>
          <w:color w:val="FF0000"/>
          <w:szCs w:val="20"/>
          <w:rtl/>
        </w:rPr>
        <w:t xml:space="preserve"> </w:t>
      </w:r>
    </w:p>
    <w:p w14:paraId="65E3568B" w14:textId="77777777" w:rsidR="00F755D1" w:rsidRDefault="00F755D1" w:rsidP="00F755D1">
      <w:pPr>
        <w:numPr>
          <w:ilvl w:val="0"/>
          <w:numId w:val="2"/>
        </w:numPr>
        <w:spacing w:after="162"/>
        <w:ind w:right="-15" w:hanging="348"/>
        <w:jc w:val="both"/>
      </w:pPr>
      <w:r>
        <w:rPr>
          <w:szCs w:val="20"/>
          <w:rtl/>
        </w:rPr>
        <w:t>הצדדים מודים שקראו וקבלו על עצמם את תקנות סדר הדין של 'לכתחילה'.</w:t>
      </w:r>
      <w:r>
        <w:rPr>
          <w:color w:val="FF0000"/>
          <w:szCs w:val="20"/>
          <w:rtl/>
        </w:rPr>
        <w:t xml:space="preserve"> </w:t>
      </w:r>
    </w:p>
    <w:p w14:paraId="5D7BFA58" w14:textId="77777777" w:rsidR="00F755D1" w:rsidRDefault="00F755D1" w:rsidP="00F755D1">
      <w:pPr>
        <w:spacing w:after="116"/>
        <w:ind w:right="-15"/>
      </w:pPr>
      <w:r>
        <w:rPr>
          <w:sz w:val="24"/>
          <w:szCs w:val="24"/>
        </w:rPr>
        <w:t>21</w:t>
      </w:r>
      <w:r>
        <w:rPr>
          <w:sz w:val="24"/>
          <w:szCs w:val="24"/>
          <w:rtl/>
        </w:rPr>
        <w:t>.</w:t>
      </w:r>
      <w:r>
        <w:rPr>
          <w:rFonts w:ascii="Arial" w:eastAsia="Arial" w:hAnsi="Arial" w:cs="Arial"/>
          <w:sz w:val="24"/>
          <w:szCs w:val="24"/>
          <w:rtl/>
        </w:rPr>
        <w:t xml:space="preserve"> </w:t>
      </w:r>
      <w:r>
        <w:rPr>
          <w:szCs w:val="20"/>
          <w:rtl/>
        </w:rPr>
        <w:t xml:space="preserve">הצדדים מודים כי קיבלו על עצמם על כל האמור בהסכם זה בקניין סודר בבית דין חשוב מעכשיו כפי תיקון חז"ל באופן המועיל ביותר בביטול כל המודעות </w:t>
      </w:r>
      <w:proofErr w:type="spellStart"/>
      <w:r>
        <w:rPr>
          <w:szCs w:val="20"/>
          <w:rtl/>
        </w:rPr>
        <w:t>ודלא</w:t>
      </w:r>
      <w:proofErr w:type="spellEnd"/>
      <w:r>
        <w:rPr>
          <w:szCs w:val="20"/>
          <w:rtl/>
        </w:rPr>
        <w:t xml:space="preserve"> כאסמכתא, כחומר כל התנאים וכחומר כל השטרות על כל הדברים הנזכרים הן ע"פ דין תורה והן על פי החוק.</w:t>
      </w:r>
      <w:r>
        <w:rPr>
          <w:color w:val="FF0000"/>
          <w:szCs w:val="20"/>
          <w:rtl/>
        </w:rPr>
        <w:t xml:space="preserve"> </w:t>
      </w:r>
    </w:p>
    <w:p w14:paraId="783FF8BA" w14:textId="77777777" w:rsidR="00F755D1" w:rsidRDefault="00F755D1" w:rsidP="00F755D1">
      <w:pPr>
        <w:spacing w:after="1" w:line="483" w:lineRule="auto"/>
        <w:ind w:left="303" w:right="3378"/>
        <w:jc w:val="center"/>
        <w:rPr>
          <w:b/>
          <w:bCs/>
          <w:szCs w:val="20"/>
          <w:rtl/>
        </w:rPr>
      </w:pPr>
      <w:r>
        <w:rPr>
          <w:szCs w:val="20"/>
          <w:rtl/>
        </w:rPr>
        <w:t>ולראיה באנו על החתום</w:t>
      </w:r>
      <w:r>
        <w:rPr>
          <w:rFonts w:hint="cs"/>
          <w:szCs w:val="20"/>
          <w:rtl/>
        </w:rPr>
        <w:t xml:space="preserve"> </w:t>
      </w:r>
      <w:r>
        <w:rPr>
          <w:szCs w:val="20"/>
          <w:rtl/>
        </w:rPr>
        <w:t>בתאריך_____________</w:t>
      </w:r>
    </w:p>
    <w:p w14:paraId="5A0C75FC" w14:textId="77777777" w:rsidR="00F755D1" w:rsidRDefault="00F755D1" w:rsidP="00F755D1">
      <w:pPr>
        <w:spacing w:after="1" w:line="483" w:lineRule="auto"/>
        <w:ind w:right="3378"/>
        <w:rPr>
          <w:b/>
          <w:bCs/>
          <w:szCs w:val="20"/>
          <w:rtl/>
        </w:rPr>
      </w:pPr>
      <w:r>
        <w:rPr>
          <w:rFonts w:hint="cs"/>
          <w:b/>
          <w:bCs/>
          <w:szCs w:val="20"/>
          <w:rtl/>
        </w:rPr>
        <w:t xml:space="preserve">                        </w:t>
      </w:r>
    </w:p>
    <w:p w14:paraId="300CB81D" w14:textId="77777777" w:rsidR="00F755D1" w:rsidRDefault="00F755D1" w:rsidP="00F755D1">
      <w:pPr>
        <w:spacing w:after="1" w:line="483" w:lineRule="auto"/>
        <w:ind w:right="3378"/>
        <w:rPr>
          <w:b/>
          <w:bCs/>
          <w:szCs w:val="20"/>
          <w:rtl/>
        </w:rPr>
      </w:pPr>
      <w:r>
        <w:rPr>
          <w:b/>
          <w:bCs/>
          <w:szCs w:val="20"/>
          <w:rtl/>
        </w:rPr>
        <w:t>צד א '- התובעים</w:t>
      </w:r>
      <w:r>
        <w:rPr>
          <w:szCs w:val="20"/>
          <w:rtl/>
        </w:rPr>
        <w:tab/>
        <w:t xml:space="preserve"> </w:t>
      </w:r>
      <w:r>
        <w:rPr>
          <w:szCs w:val="20"/>
          <w:rtl/>
        </w:rPr>
        <w:tab/>
        <w:t xml:space="preserve"> </w:t>
      </w:r>
      <w:r>
        <w:rPr>
          <w:szCs w:val="20"/>
          <w:rtl/>
        </w:rPr>
        <w:tab/>
      </w:r>
      <w:r>
        <w:rPr>
          <w:rFonts w:hint="cs"/>
          <w:szCs w:val="20"/>
          <w:rtl/>
        </w:rPr>
        <w:t xml:space="preserve">                              </w:t>
      </w:r>
      <w:r>
        <w:rPr>
          <w:szCs w:val="20"/>
          <w:rtl/>
        </w:rPr>
        <w:t xml:space="preserve">  </w:t>
      </w:r>
    </w:p>
    <w:p w14:paraId="2B5624E1" w14:textId="3C588AC8" w:rsidR="00C37162" w:rsidRPr="00C37162" w:rsidRDefault="00C37162" w:rsidP="00C37162">
      <w:pPr>
        <w:spacing w:after="1" w:line="483" w:lineRule="auto"/>
        <w:ind w:right="3378"/>
        <w:rPr>
          <w:szCs w:val="20"/>
        </w:rPr>
      </w:pPr>
      <w:r w:rsidRPr="00C37162">
        <w:rPr>
          <w:szCs w:val="20"/>
          <w:rtl/>
        </w:rPr>
        <w:t xml:space="preserve">שם: ________________  </w:t>
      </w:r>
      <w:proofErr w:type="spellStart"/>
      <w:r w:rsidRPr="00C37162">
        <w:rPr>
          <w:szCs w:val="20"/>
          <w:rtl/>
        </w:rPr>
        <w:t>תז</w:t>
      </w:r>
      <w:proofErr w:type="spellEnd"/>
      <w:r w:rsidRPr="00C37162">
        <w:rPr>
          <w:szCs w:val="20"/>
          <w:rtl/>
        </w:rPr>
        <w:t xml:space="preserve">:________________  חתימה:_____________  </w:t>
      </w:r>
      <w:r w:rsidRPr="00C37162">
        <w:rPr>
          <w:szCs w:val="20"/>
          <w:rtl/>
        </w:rPr>
        <w:tab/>
        <w:t xml:space="preserve"> </w:t>
      </w:r>
      <w:r w:rsidRPr="00C37162">
        <w:rPr>
          <w:szCs w:val="20"/>
          <w:rtl/>
        </w:rPr>
        <w:tab/>
      </w:r>
      <w:r w:rsidRPr="00C37162">
        <w:rPr>
          <w:szCs w:val="20"/>
          <w:rtl/>
        </w:rPr>
        <w:br/>
        <w:t xml:space="preserve">שם:_________________ </w:t>
      </w:r>
      <w:proofErr w:type="spellStart"/>
      <w:r w:rsidRPr="00C37162">
        <w:rPr>
          <w:szCs w:val="20"/>
          <w:rtl/>
        </w:rPr>
        <w:t>ת'ז</w:t>
      </w:r>
      <w:proofErr w:type="spellEnd"/>
      <w:r w:rsidRPr="00C37162">
        <w:rPr>
          <w:szCs w:val="20"/>
          <w:rtl/>
        </w:rPr>
        <w:t xml:space="preserve"> _________________ </w:t>
      </w:r>
      <w:r>
        <w:rPr>
          <w:szCs w:val="20"/>
          <w:rtl/>
        </w:rPr>
        <w:br/>
      </w:r>
      <w:r w:rsidRPr="00C37162">
        <w:rPr>
          <w:szCs w:val="20"/>
          <w:rtl/>
        </w:rPr>
        <w:t xml:space="preserve">חתימה:  ______________ </w:t>
      </w:r>
      <w:r w:rsidRPr="00C37162">
        <w:rPr>
          <w:szCs w:val="20"/>
          <w:rtl/>
        </w:rPr>
        <w:tab/>
        <w:t xml:space="preserve"> </w:t>
      </w:r>
      <w:r w:rsidRPr="00C37162">
        <w:rPr>
          <w:szCs w:val="20"/>
          <w:rtl/>
        </w:rPr>
        <w:tab/>
        <w:t xml:space="preserve"> </w:t>
      </w:r>
    </w:p>
    <w:p w14:paraId="22D184E9" w14:textId="77777777" w:rsidR="00C37162" w:rsidRPr="00C37162" w:rsidRDefault="00C37162" w:rsidP="00C37162">
      <w:pPr>
        <w:spacing w:after="1" w:line="483" w:lineRule="auto"/>
        <w:ind w:right="3378"/>
        <w:rPr>
          <w:szCs w:val="20"/>
        </w:rPr>
      </w:pPr>
    </w:p>
    <w:p w14:paraId="4935F3F3" w14:textId="53EA0D4B" w:rsidR="00F755D1" w:rsidRDefault="00F755D1" w:rsidP="00F755D1">
      <w:pPr>
        <w:spacing w:after="1" w:line="483" w:lineRule="auto"/>
        <w:ind w:right="3378"/>
      </w:pPr>
      <w:r>
        <w:rPr>
          <w:b/>
          <w:bCs/>
          <w:szCs w:val="20"/>
          <w:rtl/>
        </w:rPr>
        <w:t>צד ב '- הנתבעים</w:t>
      </w:r>
      <w:r>
        <w:rPr>
          <w:szCs w:val="20"/>
          <w:rtl/>
        </w:rPr>
        <w:t xml:space="preserve"> </w:t>
      </w:r>
    </w:p>
    <w:p w14:paraId="0F101300" w14:textId="1C88B5D9" w:rsidR="00F755D1" w:rsidRPr="00F755D1" w:rsidRDefault="00C37162" w:rsidP="00C37162">
      <w:pPr>
        <w:spacing w:after="1" w:line="483" w:lineRule="auto"/>
        <w:ind w:right="3378"/>
      </w:pPr>
      <w:r w:rsidRPr="00C37162">
        <w:rPr>
          <w:szCs w:val="20"/>
          <w:rtl/>
        </w:rPr>
        <w:t xml:space="preserve">שם: ________________  </w:t>
      </w:r>
      <w:proofErr w:type="spellStart"/>
      <w:r w:rsidRPr="00C37162">
        <w:rPr>
          <w:szCs w:val="20"/>
          <w:rtl/>
        </w:rPr>
        <w:t>תז</w:t>
      </w:r>
      <w:proofErr w:type="spellEnd"/>
      <w:r w:rsidRPr="00C37162">
        <w:rPr>
          <w:szCs w:val="20"/>
          <w:rtl/>
        </w:rPr>
        <w:t xml:space="preserve">:________________  חתימה:_____________  </w:t>
      </w:r>
      <w:r w:rsidRPr="00C37162">
        <w:rPr>
          <w:szCs w:val="20"/>
          <w:rtl/>
        </w:rPr>
        <w:tab/>
        <w:t xml:space="preserve"> </w:t>
      </w:r>
      <w:r w:rsidRPr="00C37162">
        <w:rPr>
          <w:szCs w:val="20"/>
          <w:rtl/>
        </w:rPr>
        <w:tab/>
      </w:r>
      <w:r w:rsidRPr="00C37162">
        <w:rPr>
          <w:szCs w:val="20"/>
          <w:rtl/>
        </w:rPr>
        <w:br/>
        <w:t xml:space="preserve">שם:_________________ </w:t>
      </w:r>
      <w:proofErr w:type="spellStart"/>
      <w:r w:rsidRPr="00C37162">
        <w:rPr>
          <w:szCs w:val="20"/>
          <w:rtl/>
        </w:rPr>
        <w:t>ת'ז</w:t>
      </w:r>
      <w:proofErr w:type="spellEnd"/>
      <w:r w:rsidRPr="00C37162">
        <w:rPr>
          <w:szCs w:val="20"/>
          <w:rtl/>
        </w:rPr>
        <w:t xml:space="preserve"> _________________ </w:t>
      </w:r>
      <w:r>
        <w:rPr>
          <w:szCs w:val="20"/>
          <w:rtl/>
        </w:rPr>
        <w:br/>
      </w:r>
      <w:r w:rsidRPr="00C37162">
        <w:rPr>
          <w:szCs w:val="20"/>
          <w:rtl/>
        </w:rPr>
        <w:t xml:space="preserve">חתימה:  ______________ </w:t>
      </w:r>
      <w:r w:rsidRPr="00C37162">
        <w:rPr>
          <w:szCs w:val="20"/>
          <w:rtl/>
        </w:rPr>
        <w:tab/>
        <w:t xml:space="preserve"> </w:t>
      </w:r>
    </w:p>
    <w:sectPr w:rsidR="00F755D1" w:rsidRPr="00F755D1" w:rsidSect="00CF60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2733" w14:textId="77777777" w:rsidR="001D1D23" w:rsidRDefault="001D1D23" w:rsidP="007B715E">
      <w:pPr>
        <w:spacing w:after="0" w:line="240" w:lineRule="auto"/>
      </w:pPr>
      <w:r>
        <w:separator/>
      </w:r>
    </w:p>
  </w:endnote>
  <w:endnote w:type="continuationSeparator" w:id="0">
    <w:p w14:paraId="237A572B" w14:textId="77777777" w:rsidR="001D1D23" w:rsidRDefault="001D1D23"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5F21" w14:textId="77777777" w:rsidR="001C6927" w:rsidRDefault="001C69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8D8" w14:textId="77777777" w:rsidR="001C6927" w:rsidRDefault="001C69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E10" w14:textId="77777777" w:rsidR="001C6927" w:rsidRDefault="001C69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1EA7" w14:textId="77777777" w:rsidR="001D1D23" w:rsidRDefault="001D1D23" w:rsidP="007B715E">
      <w:pPr>
        <w:spacing w:after="0" w:line="240" w:lineRule="auto"/>
      </w:pPr>
      <w:r>
        <w:separator/>
      </w:r>
    </w:p>
  </w:footnote>
  <w:footnote w:type="continuationSeparator" w:id="0">
    <w:p w14:paraId="69CEE6DE" w14:textId="77777777" w:rsidR="001D1D23" w:rsidRDefault="001D1D23"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1E5" w14:textId="77777777" w:rsidR="001C6927" w:rsidRDefault="001C692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e"/>
    </w:pPr>
    <w:r>
      <w:rPr>
        <w:noProof/>
      </w:rPr>
      <w:drawing>
        <wp:anchor distT="0" distB="0" distL="114300" distR="114300" simplePos="0" relativeHeight="251658240" behindDoc="0" locked="0" layoutInCell="1" allowOverlap="1" wp14:anchorId="31212FA5" wp14:editId="218189A3">
          <wp:simplePos x="0" y="0"/>
          <wp:positionH relativeFrom="margin">
            <wp:posOffset>-904750</wp:posOffset>
          </wp:positionH>
          <wp:positionV relativeFrom="paragraph">
            <wp:posOffset>-478155</wp:posOffset>
          </wp:positionV>
          <wp:extent cx="7572124"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72124" cy="10710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2AF" w14:textId="77777777" w:rsidR="001C6927" w:rsidRDefault="001C69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E2221"/>
    <w:multiLevelType w:val="hybridMultilevel"/>
    <w:tmpl w:val="06E0070A"/>
    <w:lvl w:ilvl="0" w:tplc="52840574">
      <w:start w:val="11"/>
      <w:numFmt w:val="decimal"/>
      <w:lvlText w:val="%1."/>
      <w:lvlJc w:val="left"/>
      <w:pPr>
        <w:ind w:left="34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8849BDE">
      <w:start w:val="1"/>
      <w:numFmt w:val="lowerLetter"/>
      <w:lvlText w:val="%2"/>
      <w:lvlJc w:val="left"/>
      <w:pPr>
        <w:ind w:left="11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908BFE4">
      <w:start w:val="1"/>
      <w:numFmt w:val="lowerRoman"/>
      <w:lvlText w:val="%3"/>
      <w:lvlJc w:val="left"/>
      <w:pPr>
        <w:ind w:left="190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38CC7AC6">
      <w:start w:val="1"/>
      <w:numFmt w:val="decimal"/>
      <w:lvlText w:val="%4"/>
      <w:lvlJc w:val="left"/>
      <w:pPr>
        <w:ind w:left="262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838E54D6">
      <w:start w:val="1"/>
      <w:numFmt w:val="lowerLetter"/>
      <w:lvlText w:val="%5"/>
      <w:lvlJc w:val="left"/>
      <w:pPr>
        <w:ind w:left="334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FCD07CA2">
      <w:start w:val="1"/>
      <w:numFmt w:val="lowerRoman"/>
      <w:lvlText w:val="%6"/>
      <w:lvlJc w:val="left"/>
      <w:pPr>
        <w:ind w:left="406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D45C72F4">
      <w:start w:val="1"/>
      <w:numFmt w:val="decimal"/>
      <w:lvlText w:val="%7"/>
      <w:lvlJc w:val="left"/>
      <w:pPr>
        <w:ind w:left="47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5AE21FDA">
      <w:start w:val="1"/>
      <w:numFmt w:val="lowerLetter"/>
      <w:lvlText w:val="%8"/>
      <w:lvlJc w:val="left"/>
      <w:pPr>
        <w:ind w:left="550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76F2AB0C">
      <w:start w:val="1"/>
      <w:numFmt w:val="lowerRoman"/>
      <w:lvlText w:val="%9"/>
      <w:lvlJc w:val="left"/>
      <w:pPr>
        <w:ind w:left="622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323BF9"/>
    <w:multiLevelType w:val="hybridMultilevel"/>
    <w:tmpl w:val="178A4AE0"/>
    <w:lvl w:ilvl="0" w:tplc="F2461002">
      <w:start w:val="1"/>
      <w:numFmt w:val="decimal"/>
      <w:lvlText w:val="%1."/>
      <w:lvlJc w:val="left"/>
      <w:pPr>
        <w:ind w:left="41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99AC1AC">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E52D268">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D242752">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B6A47EC">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68E86A4">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CC906FCC">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5B227DD8">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3A36A488">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num w:numId="1" w16cid:durableId="378019222">
    <w:abstractNumId w:val="1"/>
  </w:num>
  <w:num w:numId="2" w16cid:durableId="15877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7218B"/>
    <w:rsid w:val="000E3CE9"/>
    <w:rsid w:val="00171D00"/>
    <w:rsid w:val="001C6927"/>
    <w:rsid w:val="001D1D23"/>
    <w:rsid w:val="003A580B"/>
    <w:rsid w:val="00617576"/>
    <w:rsid w:val="007B37FC"/>
    <w:rsid w:val="007B715E"/>
    <w:rsid w:val="008B07DD"/>
    <w:rsid w:val="009E7F27"/>
    <w:rsid w:val="00A11302"/>
    <w:rsid w:val="00B711E3"/>
    <w:rsid w:val="00C37162"/>
    <w:rsid w:val="00C4241C"/>
    <w:rsid w:val="00CC01CC"/>
    <w:rsid w:val="00CF60B1"/>
    <w:rsid w:val="00E70CFF"/>
    <w:rsid w:val="00F755D1"/>
    <w:rsid w:val="00FB05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3866</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2026-06-21T10:43:00Z</dcterms:created>
  <dcterms:modified xsi:type="dcterms:W3CDTF">2026-06-21T10:43:00Z</dcterms:modified>
</cp:coreProperties>
</file>